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Step 12 — Complete Case Study: Documentation Requirements in Dissolution Method Development</w:t>
      </w:r>
    </w:p>
    <w:p>
      <w:r>
        <w:t>This case study provides a comprehensive example of documentation required during dissolution method development and validation. The study is based on a real-world pharmaceutical product and is structured to reflect regulatory expectations from ICH, FDA, EMA, and USP.</w:t>
      </w:r>
    </w:p>
    <w:p>
      <w:pPr>
        <w:pStyle w:val="Heading2"/>
      </w:pPr>
      <w:r>
        <w:t>Case Study: Immediate-Release Paracetamol 500 mg Tablets</w:t>
      </w:r>
    </w:p>
    <w:p>
      <w:r>
        <w:t>**Product Name:** Paracetamol (Acetaminophen) 500 mg tablets</w:t>
      </w:r>
    </w:p>
    <w:p>
      <w:r>
        <w:t>**Therapeutic Category:** Analgesic and Antipyretic</w:t>
      </w:r>
    </w:p>
    <w:p>
      <w:r>
        <w:t>**Objective:** To develop and validate a robust dissolution method for quality control and stability testing.</w:t>
      </w:r>
    </w:p>
    <w:p>
      <w:pPr>
        <w:pStyle w:val="Heading2"/>
      </w:pPr>
      <w:r>
        <w:t>Method Parameters</w:t>
      </w:r>
    </w:p>
    <w:p>
      <w:r>
        <w:t>• **Apparatus:** USP Apparatus II (Paddle)</w:t>
      </w:r>
    </w:p>
    <w:p>
      <w:r>
        <w:t>• **Medium:** 900 mL of 0.1 N HCl (pH 1.2) to simulate gastric fluid without enzymes.</w:t>
      </w:r>
    </w:p>
    <w:p>
      <w:r>
        <w:t>• **Temperature:** 37 ± 0.5 °C</w:t>
      </w:r>
    </w:p>
    <w:p>
      <w:r>
        <w:t>• **Agitation Speed:** 50 rpm</w:t>
      </w:r>
    </w:p>
    <w:p>
      <w:r>
        <w:t>• **Sampling Times:** 5, 10, 15, 30, and 45 minutes</w:t>
      </w:r>
    </w:p>
    <w:p>
      <w:r>
        <w:t>• **Detection Method:** UV-Vis spectrophotometry at 243 nm</w:t>
      </w:r>
    </w:p>
    <w:p>
      <w:pPr>
        <w:pStyle w:val="Heading2"/>
      </w:pPr>
      <w:r>
        <w:t>Development Phase Documentation</w:t>
      </w:r>
    </w:p>
    <w:p>
      <w:r>
        <w:t>1. **Justification of Medium Selection:** Paracetamol exhibits good solubility in acidic medium. 0.1 N HCl ensures sink conditions are achieved throughout the test (at least 3x the highest dose solubility).</w:t>
      </w:r>
    </w:p>
    <w:p>
      <w:r>
        <w:t>2. **Rationale for Apparatus Selection:** USP Apparatus II (paddle) is standard for immediate-release oral solid dosage forms and provides reproducible hydrodynamics.</w:t>
      </w:r>
    </w:p>
    <w:p>
      <w:r>
        <w:t>3. **Optimization Trials:** Initial trials with different agitation speeds (50, 75, 100 rpm) showed that 50 rpm provided discriminative yet consistent dissolution profiles. Higher speeds caused rapid tablet disintegration, masking formulation differences.</w:t>
      </w:r>
    </w:p>
    <w:p>
      <w:r>
        <w:t>4. **Risk Assessment (QbD):** Identified critical variables included agitation speed, medium composition, and deaeration of the medium. Control strategies were defined accordingly.</w:t>
      </w:r>
    </w:p>
    <w:p>
      <w:pPr>
        <w:pStyle w:val="Heading2"/>
      </w:pPr>
      <w:r>
        <w:t>Validation Phase Documentation</w:t>
      </w:r>
    </w:p>
    <w:p>
      <w:r>
        <w:t>**1. Accuracy:** Recovery studies were conducted by spiking paracetamol standard into dissolution medium. Recoveries were between 98.5% and 101.2%, meeting the acceptance criteria (95–105%).</w:t>
      </w:r>
    </w:p>
    <w:p>
      <w:r>
        <w:t>**2. Precision:** Repeatability (%RSD of 6 tablets) was 1.1%, and intermediate precision (%RSD across two analysts and instruments) was 1.8%.</w:t>
      </w:r>
    </w:p>
    <w:p>
      <w:r>
        <w:t>**3. Specificity:** Placebo tablets without API were tested and showed no interference at 243 nm.</w:t>
      </w:r>
    </w:p>
    <w:p>
      <w:r>
        <w:t>**4. Robustness:** Small variations in rpm (±2) and temperature (±0.5 °C) showed no significant impact on dissolution profiles (%RSD &lt; 2%).</w:t>
      </w:r>
    </w:p>
    <w:p>
      <w:r>
        <w:t>**5. Stability of Sample Solution:** Drug in dissolution medium was stable for 24 hours at room temperature (deviation &lt; 2%).</w:t>
      </w:r>
    </w:p>
    <w:p>
      <w:pPr>
        <w:pStyle w:val="Heading2"/>
      </w:pPr>
      <w:r>
        <w:t>Dissolution Profile Results</w:t>
      </w:r>
    </w:p>
    <w:p>
      <w:r>
        <w:t>Average % Drug Release (n=6 tablets):</w:t>
      </w:r>
    </w:p>
    <w:p>
      <w:r>
        <w:t>• 5 min: 45%</w:t>
        <w:br/>
        <w:t>• 10 min: 72%</w:t>
        <w:br/>
        <w:t>• 15 min: 88%</w:t>
        <w:br/>
        <w:t>• 30 min: 98%</w:t>
        <w:br/>
        <w:t>• 45 min: 100%</w:t>
      </w:r>
    </w:p>
    <w:p>
      <w:r>
        <w:t>Acceptance Criteria: Not less than (NLT) 80% of label claim dissolved within 30 minutes. The developed method meets this requirement.</w:t>
      </w:r>
    </w:p>
    <w:p>
      <w:pPr>
        <w:pStyle w:val="Heading2"/>
      </w:pPr>
      <w:r>
        <w:t>Reporting and Documentation</w:t>
      </w:r>
    </w:p>
    <w:p>
      <w:r>
        <w:t>The final report included the following sections:</w:t>
      </w:r>
    </w:p>
    <w:p>
      <w:r>
        <w:t>• Raw data including UV absorbance readings at each sampling point.</w:t>
      </w:r>
    </w:p>
    <w:p>
      <w:r>
        <w:t>• Tabulated dissolution results with calculated % drug release.</w:t>
      </w:r>
    </w:p>
    <w:p>
      <w:r>
        <w:t>• Graphical dissolution profiles (% release vs. time).</w:t>
      </w:r>
    </w:p>
    <w:p>
      <w:r>
        <w:t>• Statistical treatment including mean, SD, %RSD, and f2 similarity factor if comparative studies are performed.</w:t>
      </w:r>
    </w:p>
    <w:p>
      <w:r>
        <w:t>• Justification of method parameters with supporting scientific rationale.</w:t>
      </w:r>
    </w:p>
    <w:p>
      <w:r>
        <w:t>• Validation summary with results for accuracy, precision, specificity, robustness, and stability.</w:t>
      </w:r>
    </w:p>
    <w:p>
      <w:r>
        <w:t>• Approval signatures from Analyst, Reviewer, and QA as per GMP documentation requirements.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